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2802AC">
        <w:rPr>
          <w:b/>
          <w:bCs/>
        </w:rPr>
        <w:t>4</w:t>
      </w:r>
    </w:p>
    <w:p w:rsidR="0028660D" w:rsidRDefault="0028660D" w:rsidP="00661B13">
      <w:pPr>
        <w:ind w:right="57"/>
        <w:jc w:val="center"/>
        <w:rPr>
          <w:b/>
          <w:bCs/>
        </w:rPr>
      </w:pPr>
    </w:p>
    <w:p w:rsidR="00562366" w:rsidRPr="00A4788C" w:rsidRDefault="00E037A5" w:rsidP="00A75287">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A75287">
      <w:pPr>
        <w:pStyle w:val="a9"/>
        <w:spacing w:line="336" w:lineRule="auto"/>
        <w:ind w:left="0"/>
        <w:jc w:val="both"/>
        <w:outlineLvl w:val="0"/>
        <w:rPr>
          <w:bCs/>
          <w:sz w:val="24"/>
          <w:szCs w:val="24"/>
        </w:rPr>
      </w:pPr>
      <w:bookmarkStart w:id="0" w:name="_Ref169632434"/>
      <w:bookmarkStart w:id="1" w:name="_Toc223437117"/>
    </w:p>
    <w:p w:rsidR="003A528D" w:rsidRPr="00A4788C" w:rsidRDefault="003A528D" w:rsidP="00A75287">
      <w:pPr>
        <w:pStyle w:val="a9"/>
        <w:spacing w:line="336" w:lineRule="auto"/>
        <w:ind w:left="0"/>
        <w:jc w:val="both"/>
        <w:outlineLvl w:val="0"/>
        <w:rPr>
          <w:bCs/>
          <w:sz w:val="24"/>
          <w:szCs w:val="24"/>
        </w:rPr>
      </w:pPr>
    </w:p>
    <w:p w:rsidR="000358B8" w:rsidRPr="00A4788C" w:rsidRDefault="00A6786F" w:rsidP="00A75287">
      <w:pPr>
        <w:pStyle w:val="a9"/>
        <w:ind w:left="0"/>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A75287">
      <w:pPr>
        <w:pStyle w:val="a9"/>
        <w:ind w:left="0"/>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A75287">
      <w:pPr>
        <w:pStyle w:val="31"/>
        <w:keepNext w:val="0"/>
        <w:numPr>
          <w:ilvl w:val="0"/>
          <w:numId w:val="0"/>
        </w:numPr>
        <w:spacing w:before="0" w:after="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w:t>
      </w:r>
      <w:r w:rsidRPr="00A4788C">
        <w:rPr>
          <w:rFonts w:ascii="Times New Roman" w:hAnsi="Times New Roman"/>
          <w:b w:val="0"/>
          <w:szCs w:val="24"/>
        </w:rPr>
        <w:br/>
        <w:t>исходя из критериев:</w:t>
      </w:r>
    </w:p>
    <w:p w:rsidR="000251DE" w:rsidRPr="00A4788C" w:rsidRDefault="000251DE" w:rsidP="00A75287"/>
    <w:p w:rsidR="00B300E6" w:rsidRPr="00A4788C" w:rsidRDefault="00B300E6" w:rsidP="00A75287">
      <w:pPr>
        <w:numPr>
          <w:ilvl w:val="0"/>
          <w:numId w:val="18"/>
        </w:numPr>
        <w:ind w:left="0" w:firstLine="0"/>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F133A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F133AE">
            <w:pPr>
              <w:pStyle w:val="afe"/>
              <w:tabs>
                <w:tab w:val="clear" w:pos="1980"/>
              </w:tabs>
              <w:ind w:left="0" w:firstLine="0"/>
              <w:jc w:val="center"/>
              <w:rPr>
                <w:b/>
                <w:bCs/>
                <w:szCs w:val="24"/>
              </w:rPr>
            </w:pPr>
            <w:r w:rsidRPr="00A4788C">
              <w:rPr>
                <w:b/>
                <w:bCs/>
                <w:szCs w:val="24"/>
              </w:rPr>
              <w:t>(К)</w:t>
            </w:r>
          </w:p>
        </w:tc>
      </w:tr>
      <w:tr w:rsidR="00A75287" w:rsidRPr="00A4788C" w:rsidTr="00A75287">
        <w:trPr>
          <w:trHeight w:val="343"/>
        </w:trPr>
        <w:tc>
          <w:tcPr>
            <w:tcW w:w="1200" w:type="dxa"/>
            <w:tcBorders>
              <w:top w:val="single" w:sz="4" w:space="0" w:color="auto"/>
              <w:left w:val="single" w:sz="4" w:space="0" w:color="auto"/>
              <w:right w:val="single" w:sz="4" w:space="0" w:color="auto"/>
            </w:tcBorders>
          </w:tcPr>
          <w:p w:rsidR="00A75287" w:rsidRPr="00A4788C" w:rsidRDefault="00A75287"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A75287" w:rsidRPr="00A75287" w:rsidRDefault="00A75287"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A75287" w:rsidRPr="00414D6B" w:rsidRDefault="00A75287" w:rsidP="005F1E24">
            <w:pPr>
              <w:pStyle w:val="afe"/>
              <w:ind w:left="34" w:firstLine="0"/>
              <w:jc w:val="center"/>
              <w:rPr>
                <w:szCs w:val="24"/>
              </w:rPr>
            </w:pPr>
            <w:r>
              <w:rPr>
                <w:szCs w:val="24"/>
              </w:rPr>
              <w:t>10</w:t>
            </w:r>
            <w:r w:rsidRPr="00414D6B">
              <w:rPr>
                <w:szCs w:val="24"/>
              </w:rPr>
              <w:t>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A75287">
      <w:pPr>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количественных и качестве</w:t>
      </w:r>
      <w:r w:rsidR="00904D3C" w:rsidRPr="002C22C8">
        <w:rPr>
          <w:b/>
        </w:rPr>
        <w:t>н</w:t>
      </w:r>
      <w:r w:rsidR="00904D3C" w:rsidRPr="002C22C8">
        <w:rPr>
          <w:b/>
        </w:rPr>
        <w:t xml:space="preserve">ных характеристик,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w:t>
      </w:r>
      <w:r w:rsidR="00904D3C" w:rsidRPr="002C22C8">
        <w:rPr>
          <w:b/>
        </w:rPr>
        <w:t>ы</w:t>
      </w:r>
      <w:r w:rsidR="00904D3C" w:rsidRPr="002C22C8">
        <w:rPr>
          <w:b/>
        </w:rPr>
        <w:t xml:space="preserve">полняемой работы,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w:t>
      </w:r>
      <w:r w:rsidR="006F4D6D" w:rsidRPr="006F4D6D">
        <w:rPr>
          <w:b/>
        </w:rPr>
        <w:t>д</w:t>
      </w:r>
      <w:r w:rsidR="006F4D6D" w:rsidRPr="006F4D6D">
        <w:rPr>
          <w:b/>
        </w:rPr>
        <w:t>ложений</w:t>
      </w:r>
      <w:r w:rsidR="00904D3C" w:rsidRPr="002C22C8">
        <w:rPr>
          <w:b/>
        </w:rPr>
        <w:t>, их количественных и качественных характеристик</w:t>
      </w:r>
    </w:p>
    <w:p w:rsidR="00904D3C" w:rsidRDefault="00904D3C" w:rsidP="006A7C5D">
      <w:pPr>
        <w:ind w:left="360"/>
        <w:rPr>
          <w:b/>
        </w:rPr>
      </w:pPr>
    </w:p>
    <w:p w:rsidR="00B300E6" w:rsidRDefault="0047697C" w:rsidP="00A75287">
      <w:pPr>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F133AE">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roofErr w:type="gramEnd"/>
          </w:p>
        </w:tc>
      </w:tr>
    </w:tbl>
    <w:p w:rsidR="009D1788" w:rsidRDefault="009D1788" w:rsidP="006A7C5D">
      <w:pPr>
        <w:keepNext/>
        <w:ind w:left="357"/>
        <w:rPr>
          <w:b/>
        </w:rPr>
      </w:pPr>
    </w:p>
    <w:p w:rsidR="00B8524D" w:rsidRPr="00A4788C" w:rsidRDefault="00B8524D" w:rsidP="006A7C5D"/>
    <w:p w:rsidR="00D15954" w:rsidRDefault="00D15954" w:rsidP="006A7C5D">
      <w:pPr>
        <w:ind w:firstLine="567"/>
        <w:jc w:val="both"/>
      </w:pPr>
    </w:p>
    <w:p w:rsidR="00F3039C" w:rsidRPr="00A4788C" w:rsidRDefault="00422BC0" w:rsidP="006A7C5D">
      <w:pPr>
        <w:jc w:val="both"/>
        <w:rPr>
          <w:b/>
        </w:rPr>
      </w:pPr>
      <w:bookmarkStart w:id="2" w:name="_Toc518119388"/>
      <w:bookmarkStart w:id="3" w:name="_GoBack"/>
      <w:bookmarkEnd w:id="3"/>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23636161"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7846CB">
      <w:headerReference w:type="even" r:id="rId11"/>
      <w:headerReference w:type="default" r:id="rId12"/>
      <w:pgSz w:w="11906" w:h="16838"/>
      <w:pgMar w:top="1134" w:right="868" w:bottom="90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C3D" w:rsidRDefault="00F12C3D">
      <w:r>
        <w:separator/>
      </w:r>
    </w:p>
  </w:endnote>
  <w:endnote w:type="continuationSeparator" w:id="0">
    <w:p w:rsidR="00F12C3D" w:rsidRDefault="00F1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C3D" w:rsidRDefault="00F12C3D">
      <w:r>
        <w:separator/>
      </w:r>
    </w:p>
  </w:footnote>
  <w:footnote w:type="continuationSeparator" w:id="0">
    <w:p w:rsidR="00F12C3D" w:rsidRDefault="00F12C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DF2DA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DF2DA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A75287">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0E8E"/>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02AC"/>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4D6B"/>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96A"/>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3AB7"/>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11D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6CB"/>
    <w:rsid w:val="007848C4"/>
    <w:rsid w:val="00784980"/>
    <w:rsid w:val="00785F79"/>
    <w:rsid w:val="00790C66"/>
    <w:rsid w:val="007911C4"/>
    <w:rsid w:val="00794F6B"/>
    <w:rsid w:val="007956B8"/>
    <w:rsid w:val="00796F14"/>
    <w:rsid w:val="007A1994"/>
    <w:rsid w:val="007B144A"/>
    <w:rsid w:val="007B2204"/>
    <w:rsid w:val="007B4298"/>
    <w:rsid w:val="007B4E90"/>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156D"/>
    <w:rsid w:val="00A03A96"/>
    <w:rsid w:val="00A049D4"/>
    <w:rsid w:val="00A11516"/>
    <w:rsid w:val="00A12A6D"/>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5287"/>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2110"/>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684"/>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954"/>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7166B"/>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2DA6"/>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12C3D"/>
    <w:rsid w:val="00F133AE"/>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4D38E-DE4A-4AD8-8AB5-BDC12B16F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6</cp:revision>
  <cp:lastPrinted>2011-10-03T13:01:00Z</cp:lastPrinted>
  <dcterms:created xsi:type="dcterms:W3CDTF">2012-06-25T03:11:00Z</dcterms:created>
  <dcterms:modified xsi:type="dcterms:W3CDTF">2013-03-01T03:43:00Z</dcterms:modified>
</cp:coreProperties>
</file>